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_GB2312" w:hAnsi="Lucida Console" w:eastAsia="宋体"/>
          <w:sz w:val="24"/>
          <w:lang w:eastAsia="zh-CN"/>
        </w:rPr>
      </w:pPr>
      <w:r>
        <w:rPr>
          <w:rFonts w:hint="eastAsia"/>
          <w:kern w:val="0"/>
          <w:sz w:val="24"/>
        </w:rPr>
        <w:t>证券代码：</w:t>
      </w:r>
      <w:r>
        <w:rPr>
          <w:kern w:val="0"/>
          <w:sz w:val="24"/>
        </w:rPr>
        <w:t xml:space="preserve">000759        </w:t>
      </w:r>
      <w:r>
        <w:rPr>
          <w:rFonts w:hint="eastAsia"/>
          <w:kern w:val="0"/>
          <w:sz w:val="24"/>
        </w:rPr>
        <w:t>证券简称：中百集团</w:t>
      </w:r>
      <w:r>
        <w:rPr>
          <w:kern w:val="0"/>
          <w:sz w:val="24"/>
        </w:rPr>
        <w:t xml:space="preserve">        </w:t>
      </w:r>
      <w:r>
        <w:rPr>
          <w:rFonts w:hint="eastAsia"/>
          <w:kern w:val="0"/>
          <w:sz w:val="24"/>
        </w:rPr>
        <w:t>公告编号：</w:t>
      </w:r>
      <w:r>
        <w:rPr>
          <w:kern w:val="0"/>
          <w:sz w:val="24"/>
        </w:rPr>
        <w:t>20</w:t>
      </w:r>
      <w:r>
        <w:rPr>
          <w:rFonts w:hint="eastAsia"/>
          <w:kern w:val="0"/>
          <w:sz w:val="24"/>
        </w:rPr>
        <w:t>22-02</w:t>
      </w:r>
      <w:r>
        <w:rPr>
          <w:rFonts w:hint="eastAsia"/>
          <w:kern w:val="0"/>
          <w:sz w:val="24"/>
          <w:lang w:val="en-US" w:eastAsia="zh-CN"/>
        </w:rPr>
        <w:t>8</w:t>
      </w:r>
    </w:p>
    <w:p>
      <w:pPr>
        <w:spacing w:after="0"/>
        <w:jc w:val="center"/>
        <w:rPr>
          <w:rFonts w:ascii="黑体" w:hAnsi="黑体" w:eastAsia="黑体" w:cs="黑体"/>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黑体" w:hAnsi="黑体" w:eastAsia="黑体" w:cs="黑体"/>
          <w:sz w:val="36"/>
          <w:szCs w:val="36"/>
          <w:lang w:eastAsia="zh-CN"/>
        </w:rPr>
      </w:pPr>
      <w:r>
        <w:rPr>
          <w:rFonts w:ascii="黑体" w:hAnsi="黑体" w:eastAsia="黑体" w:cs="黑体"/>
          <w:sz w:val="36"/>
          <w:szCs w:val="36"/>
          <w:lang w:eastAsia="zh-CN"/>
        </w:rPr>
        <w:t xml:space="preserve">中百控股集团股份有限公司 </w:t>
      </w:r>
    </w:p>
    <w:p>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ascii="黑体" w:hAnsi="黑体" w:eastAsia="黑体" w:cs="黑体"/>
          <w:sz w:val="36"/>
          <w:szCs w:val="36"/>
          <w:lang w:eastAsia="zh-CN"/>
        </w:rPr>
      </w:pPr>
      <w:r>
        <w:rPr>
          <w:rFonts w:hint="eastAsia" w:ascii="黑体" w:hAnsi="黑体" w:eastAsia="黑体" w:cs="黑体"/>
          <w:sz w:val="36"/>
          <w:szCs w:val="36"/>
          <w:lang w:eastAsia="zh-CN"/>
        </w:rPr>
        <w:t>关于独立董事任期届满离任的</w:t>
      </w:r>
      <w:r>
        <w:rPr>
          <w:rFonts w:ascii="黑体" w:hAnsi="黑体" w:eastAsia="黑体" w:cs="黑体"/>
          <w:sz w:val="36"/>
          <w:szCs w:val="36"/>
          <w:lang w:eastAsia="zh-CN"/>
        </w:rPr>
        <w:t>公告</w:t>
      </w:r>
    </w:p>
    <w:p>
      <w:pPr>
        <w:pStyle w:val="9"/>
        <w:snapToGrid w:val="0"/>
        <w:jc w:val="center"/>
        <w:rPr>
          <w:rStyle w:val="10"/>
          <w:rFonts w:hAnsi="黑体"/>
        </w:rPr>
      </w:pP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4" w:type="dxa"/>
          </w:tcPr>
          <w:p>
            <w:pPr>
              <w:pStyle w:val="9"/>
              <w:spacing w:line="400" w:lineRule="exact"/>
              <w:ind w:firstLine="480" w:firstLineChars="200"/>
              <w:jc w:val="both"/>
              <w:rPr>
                <w:rFonts w:ascii="楷体" w:hAnsi="楷体" w:eastAsia="楷体"/>
              </w:rPr>
            </w:pPr>
            <w:r>
              <w:rPr>
                <w:rFonts w:hint="eastAsia" w:ascii="楷体" w:hAnsi="楷体" w:eastAsia="楷体"/>
              </w:rPr>
              <w:t>本公司及董事会全体成员保证信息披露的内容真实、准确、完整，没有虚假记载、误导性陈述或者重大遗漏。</w:t>
            </w:r>
          </w:p>
        </w:tc>
      </w:tr>
    </w:tbl>
    <w:p>
      <w:pPr>
        <w:pStyle w:val="8"/>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0" w:firstLineChars="200"/>
        <w:textAlignment w:val="auto"/>
        <w:rPr>
          <w:rFonts w:asciiTheme="minorEastAsia" w:hAnsiTheme="minorEastAsia"/>
          <w:sz w:val="24"/>
          <w:szCs w:val="24"/>
          <w:lang w:eastAsia="zh-CN"/>
        </w:rPr>
      </w:pPr>
      <w:r>
        <w:rPr>
          <w:rFonts w:hint="eastAsia" w:asciiTheme="minorEastAsia" w:hAnsiTheme="minorEastAsia"/>
          <w:sz w:val="24"/>
          <w:szCs w:val="24"/>
          <w:lang w:eastAsia="zh-CN"/>
        </w:rPr>
        <w:t>根据《公司法》《</w:t>
      </w:r>
      <w:r>
        <w:rPr>
          <w:rFonts w:asciiTheme="minorEastAsia" w:hAnsiTheme="minorEastAsia"/>
          <w:sz w:val="24"/>
          <w:szCs w:val="24"/>
          <w:lang w:eastAsia="zh-CN"/>
        </w:rPr>
        <w:t>上市公司独立董事规则</w:t>
      </w:r>
      <w:r>
        <w:rPr>
          <w:rFonts w:hint="eastAsia" w:asciiTheme="minorEastAsia" w:hAnsiTheme="minorEastAsia"/>
          <w:sz w:val="24"/>
          <w:szCs w:val="24"/>
          <w:lang w:eastAsia="zh-CN"/>
        </w:rPr>
        <w:t>》及《公司章程》规定，独立董事在同一家上市公司的连任时间不得超过六年。中百控股集团股份有限公司（以下简称“公司”）独立董事黄静女士自2016年5月25日起担任公司独立董事及董事会相应专门委员会委员职务，于2022年5月2</w:t>
      </w:r>
      <w:r>
        <w:rPr>
          <w:rFonts w:hint="eastAsia" w:asciiTheme="minorEastAsia" w:hAnsiTheme="minorEastAsia"/>
          <w:sz w:val="24"/>
          <w:szCs w:val="24"/>
          <w:lang w:val="en-US" w:eastAsia="zh-CN"/>
        </w:rPr>
        <w:t>4</w:t>
      </w:r>
      <w:r>
        <w:rPr>
          <w:rFonts w:hint="eastAsia" w:asciiTheme="minorEastAsia" w:hAnsiTheme="minorEastAsia"/>
          <w:sz w:val="24"/>
          <w:szCs w:val="24"/>
          <w:lang w:eastAsia="zh-CN"/>
        </w:rPr>
        <w:t>日任期届满离任，离任后黄静女士不再担任公司任何职务。</w:t>
      </w:r>
      <w:r>
        <w:rPr>
          <w:rFonts w:asciiTheme="minorEastAsia" w:hAnsiTheme="minorEastAsia"/>
          <w:sz w:val="24"/>
          <w:szCs w:val="24"/>
          <w:lang w:eastAsia="zh-CN"/>
        </w:rPr>
        <w:t>截至</w:t>
      </w:r>
      <w:r>
        <w:rPr>
          <w:rFonts w:hint="eastAsia" w:asciiTheme="minorEastAsia" w:hAnsiTheme="minorEastAsia"/>
          <w:sz w:val="24"/>
          <w:szCs w:val="24"/>
          <w:lang w:eastAsia="zh-CN"/>
        </w:rPr>
        <w:t>公告日</w:t>
      </w:r>
      <w:r>
        <w:rPr>
          <w:rFonts w:asciiTheme="minorEastAsia" w:hAnsiTheme="minorEastAsia"/>
          <w:sz w:val="24"/>
          <w:szCs w:val="24"/>
          <w:lang w:eastAsia="zh-CN"/>
        </w:rPr>
        <w:t>，</w:t>
      </w:r>
      <w:r>
        <w:rPr>
          <w:rFonts w:hint="eastAsia" w:asciiTheme="minorEastAsia" w:hAnsiTheme="minorEastAsia"/>
          <w:sz w:val="24"/>
          <w:szCs w:val="24"/>
          <w:lang w:eastAsia="zh-CN"/>
        </w:rPr>
        <w:t>黄静</w:t>
      </w:r>
      <w:r>
        <w:rPr>
          <w:rFonts w:asciiTheme="minorEastAsia" w:hAnsiTheme="minorEastAsia"/>
          <w:sz w:val="24"/>
          <w:szCs w:val="24"/>
          <w:lang w:eastAsia="zh-CN"/>
        </w:rPr>
        <w:t>女士</w:t>
      </w:r>
      <w:r>
        <w:rPr>
          <w:rFonts w:hint="eastAsia" w:asciiTheme="minorEastAsia" w:hAnsiTheme="minorEastAsia"/>
          <w:sz w:val="24"/>
          <w:szCs w:val="24"/>
          <w:lang w:eastAsia="zh-CN"/>
        </w:rPr>
        <w:t>未持有公司股份。</w:t>
      </w:r>
    </w:p>
    <w:p>
      <w:pPr>
        <w:pStyle w:val="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sz w:val="24"/>
          <w:szCs w:val="24"/>
          <w:lang w:eastAsia="zh-CN"/>
        </w:rPr>
      </w:pPr>
      <w:r>
        <w:rPr>
          <w:rFonts w:hint="eastAsia" w:asciiTheme="minorEastAsia" w:hAnsiTheme="minorEastAsia"/>
          <w:sz w:val="24"/>
          <w:szCs w:val="24"/>
          <w:lang w:eastAsia="zh-CN"/>
        </w:rPr>
        <w:t>鉴于黄静女士任期届满离任将导致公司第十届董事会中独立董事人数少于董事会成员的三分之一，根据《</w:t>
      </w:r>
      <w:r>
        <w:rPr>
          <w:rFonts w:asciiTheme="minorEastAsia" w:hAnsiTheme="minorEastAsia"/>
          <w:sz w:val="24"/>
          <w:szCs w:val="24"/>
          <w:lang w:eastAsia="zh-CN"/>
        </w:rPr>
        <w:t>上市公司独立董事规则</w:t>
      </w:r>
      <w:r>
        <w:rPr>
          <w:rFonts w:hint="eastAsia" w:asciiTheme="minorEastAsia" w:hAnsiTheme="minorEastAsia"/>
          <w:sz w:val="24"/>
          <w:szCs w:val="24"/>
          <w:lang w:eastAsia="zh-CN"/>
        </w:rPr>
        <w:t>》《公司章程》等相关规定，黄静女士的离任将自公司股东大会选举产生新的独立董事后生效。在此期间，黄静女士仍将按照有关法律法规的规定，继续履行公司独立董事及董事会相应专门委员会委员职责。公司将按照有关规定，尽快履行相关程序，完成独立董事的补选工作。</w:t>
      </w:r>
    </w:p>
    <w:p>
      <w:pPr>
        <w:pStyle w:val="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sz w:val="24"/>
          <w:szCs w:val="24"/>
          <w:lang w:eastAsia="zh-CN"/>
        </w:rPr>
      </w:pPr>
      <w:r>
        <w:rPr>
          <w:rFonts w:hint="eastAsia" w:asciiTheme="minorEastAsia" w:hAnsiTheme="minorEastAsia"/>
          <w:sz w:val="24"/>
          <w:szCs w:val="24"/>
          <w:lang w:eastAsia="zh-CN"/>
        </w:rPr>
        <w:t>黄静女士在担任公司独立董事期间，勤勉尽责，为公司规范运作和健康发展发挥了积极作用。公司董事会对黄静女士担任独立董事期间所做出的贡献表示衷心的感谢。</w:t>
      </w:r>
    </w:p>
    <w:p>
      <w:pPr>
        <w:pStyle w:val="8"/>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sz w:val="24"/>
          <w:szCs w:val="24"/>
          <w:lang w:eastAsia="zh-CN"/>
        </w:rPr>
      </w:pPr>
      <w:r>
        <w:rPr>
          <w:rFonts w:hint="eastAsia" w:asciiTheme="minorEastAsia" w:hAnsiTheme="minorEastAsia"/>
          <w:sz w:val="24"/>
          <w:szCs w:val="24"/>
          <w:lang w:eastAsia="zh-CN"/>
        </w:rPr>
        <w:t>特此公告。</w:t>
      </w:r>
    </w:p>
    <w:p>
      <w:pPr>
        <w:pStyle w:val="8"/>
        <w:spacing w:line="360" w:lineRule="auto"/>
        <w:ind w:firstLine="480" w:firstLineChars="200"/>
        <w:rPr>
          <w:rFonts w:asciiTheme="minorEastAsia" w:hAnsiTheme="minorEastAsia"/>
          <w:sz w:val="24"/>
          <w:szCs w:val="24"/>
          <w:lang w:eastAsia="zh-CN"/>
        </w:rPr>
      </w:pPr>
    </w:p>
    <w:p>
      <w:pPr>
        <w:pStyle w:val="8"/>
        <w:spacing w:line="360" w:lineRule="auto"/>
        <w:ind w:firstLine="480" w:firstLineChars="200"/>
        <w:rPr>
          <w:rFonts w:asciiTheme="minorEastAsia" w:hAnsiTheme="minorEastAsia"/>
          <w:sz w:val="24"/>
          <w:szCs w:val="24"/>
          <w:lang w:eastAsia="zh-CN"/>
        </w:rPr>
      </w:pPr>
    </w:p>
    <w:p>
      <w:pPr>
        <w:pStyle w:val="8"/>
        <w:spacing w:line="360" w:lineRule="auto"/>
        <w:ind w:firstLine="4560" w:firstLineChars="1900"/>
        <w:rPr>
          <w:rFonts w:hint="eastAsia" w:asciiTheme="minorEastAsia" w:hAnsiTheme="minorEastAsia"/>
          <w:sz w:val="24"/>
          <w:szCs w:val="24"/>
          <w:lang w:eastAsia="zh-CN"/>
        </w:rPr>
      </w:pPr>
    </w:p>
    <w:p>
      <w:pPr>
        <w:pStyle w:val="8"/>
        <w:spacing w:line="360" w:lineRule="auto"/>
        <w:ind w:firstLine="4560" w:firstLineChars="1900"/>
        <w:rPr>
          <w:rFonts w:hint="eastAsia" w:asciiTheme="minorEastAsia" w:hAnsiTheme="minorEastAsia"/>
          <w:sz w:val="24"/>
          <w:szCs w:val="24"/>
          <w:lang w:eastAsia="zh-CN"/>
        </w:rPr>
      </w:pPr>
      <w:bookmarkStart w:id="0" w:name="_GoBack"/>
      <w:bookmarkEnd w:id="0"/>
      <w:r>
        <w:rPr>
          <w:rFonts w:hint="eastAsia" w:asciiTheme="minorEastAsia" w:hAnsiTheme="minorEastAsia"/>
          <w:sz w:val="24"/>
          <w:szCs w:val="24"/>
          <w:lang w:eastAsia="zh-CN"/>
        </w:rPr>
        <w:t>中百控股集团股份有限公司</w:t>
      </w:r>
    </w:p>
    <w:p>
      <w:pPr>
        <w:pStyle w:val="8"/>
        <w:spacing w:line="360" w:lineRule="auto"/>
        <w:ind w:firstLine="5520" w:firstLineChars="2300"/>
        <w:rPr>
          <w:rFonts w:asciiTheme="minorEastAsia" w:hAnsiTheme="minorEastAsia"/>
          <w:sz w:val="24"/>
          <w:szCs w:val="24"/>
          <w:lang w:eastAsia="zh-CN"/>
        </w:rPr>
      </w:pPr>
      <w:r>
        <w:rPr>
          <w:rFonts w:hint="eastAsia" w:asciiTheme="minorEastAsia" w:hAnsiTheme="minorEastAsia"/>
          <w:sz w:val="24"/>
          <w:szCs w:val="24"/>
          <w:lang w:eastAsia="zh-CN"/>
        </w:rPr>
        <w:t>董 事 会</w:t>
      </w:r>
    </w:p>
    <w:p>
      <w:pPr>
        <w:pStyle w:val="8"/>
        <w:spacing w:line="360" w:lineRule="auto"/>
        <w:ind w:firstLine="5040" w:firstLineChars="2100"/>
        <w:rPr>
          <w:rFonts w:asciiTheme="minorEastAsia" w:hAnsiTheme="minorEastAsia"/>
          <w:sz w:val="24"/>
          <w:szCs w:val="24"/>
          <w:lang w:eastAsia="zh-CN"/>
        </w:rPr>
      </w:pPr>
      <w:r>
        <w:rPr>
          <w:rFonts w:hint="eastAsia" w:asciiTheme="minorEastAsia" w:hAnsiTheme="minorEastAsia"/>
          <w:sz w:val="24"/>
          <w:szCs w:val="24"/>
          <w:lang w:eastAsia="zh-CN"/>
        </w:rPr>
        <w:t>2022年5月25日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Lucida Console">
    <w:panose1 w:val="020B0609040504020204"/>
    <w:charset w:val="00"/>
    <w:family w:val="modern"/>
    <w:pitch w:val="default"/>
    <w:sig w:usb0="8000028F" w:usb1="00001800" w:usb2="00000000" w:usb3="00000000" w:csb0="0000001F" w:csb1="D7D7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